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CB1F433" w14:textId="77777777" w:rsidR="002033D3" w:rsidRPr="002033D3" w:rsidRDefault="002033D3" w:rsidP="002033D3">
      <w:pPr>
        <w:shd w:val="clear" w:color="auto" w:fill="EDF1F3"/>
        <w:spacing w:after="161" w:line="240" w:lineRule="auto"/>
        <w:outlineLvl w:val="0"/>
        <w:rPr>
          <w:rFonts w:ascii="Segoe UI" w:eastAsia="Times New Roman" w:hAnsi="Segoe UI" w:cs="Segoe UI"/>
          <w:b/>
          <w:bCs/>
          <w:color w:val="272C37"/>
          <w:kern w:val="36"/>
          <w:sz w:val="48"/>
          <w:szCs w:val="48"/>
          <w14:ligatures w14:val="none"/>
        </w:rPr>
      </w:pPr>
      <w:r w:rsidRPr="002033D3">
        <w:rPr>
          <w:rFonts w:ascii="Segoe UI" w:eastAsia="Times New Roman" w:hAnsi="Segoe UI" w:cs="Segoe UI"/>
          <w:b/>
          <w:bCs/>
          <w:color w:val="272C37"/>
          <w:kern w:val="36"/>
          <w:sz w:val="48"/>
          <w:szCs w:val="48"/>
          <w14:ligatures w14:val="none"/>
        </w:rPr>
        <w:t>Condo Market Report</w:t>
      </w:r>
    </w:p>
    <w:p w14:paraId="41F219C0" w14:textId="77777777" w:rsidR="002033D3" w:rsidRPr="002033D3" w:rsidRDefault="002033D3" w:rsidP="002033D3">
      <w:pPr>
        <w:shd w:val="clear" w:color="auto" w:fill="EDF1F3"/>
        <w:spacing w:before="100" w:beforeAutospacing="1" w:after="100" w:afterAutospacing="1" w:line="240" w:lineRule="auto"/>
        <w:outlineLvl w:val="1"/>
        <w:rPr>
          <w:rFonts w:ascii="Segoe UI" w:eastAsia="Times New Roman" w:hAnsi="Segoe UI" w:cs="Segoe UI"/>
          <w:b/>
          <w:bCs/>
          <w:color w:val="272C37"/>
          <w:kern w:val="0"/>
          <w:sz w:val="36"/>
          <w:szCs w:val="36"/>
          <w14:ligatures w14:val="none"/>
        </w:rPr>
      </w:pPr>
      <w:r w:rsidRPr="002033D3">
        <w:rPr>
          <w:rFonts w:ascii="Segoe UI" w:eastAsia="Times New Roman" w:hAnsi="Segoe UI" w:cs="Segoe UI"/>
          <w:b/>
          <w:bCs/>
          <w:color w:val="272C37"/>
          <w:kern w:val="0"/>
          <w:sz w:val="36"/>
          <w:szCs w:val="36"/>
          <w14:ligatures w14:val="none"/>
        </w:rPr>
        <w:t>TRREB Releases 2026 Q1 Condo Market Statistics</w:t>
      </w:r>
    </w:p>
    <w:p w14:paraId="7FD2B0B0" w14:textId="77777777" w:rsidR="002033D3" w:rsidRPr="002033D3" w:rsidRDefault="002033D3" w:rsidP="002033D3">
      <w:pPr>
        <w:shd w:val="clear" w:color="auto" w:fill="EDF1F3"/>
        <w:spacing w:before="100" w:beforeAutospacing="1" w:after="100" w:afterAutospacing="1" w:line="240" w:lineRule="auto"/>
        <w:rPr>
          <w:rFonts w:ascii="Segoe UI" w:eastAsia="Times New Roman" w:hAnsi="Segoe UI" w:cs="Segoe UI"/>
          <w:color w:val="272C37"/>
          <w:kern w:val="0"/>
          <w:sz w:val="36"/>
          <w:szCs w:val="36"/>
          <w14:ligatures w14:val="none"/>
        </w:rPr>
      </w:pPr>
      <w:r w:rsidRPr="002033D3">
        <w:rPr>
          <w:rFonts w:ascii="Segoe UI" w:eastAsia="Times New Roman" w:hAnsi="Segoe UI" w:cs="Segoe UI"/>
          <w:color w:val="272C37"/>
          <w:kern w:val="0"/>
          <w:sz w:val="36"/>
          <w:szCs w:val="36"/>
          <w14:ligatures w14:val="none"/>
        </w:rPr>
        <w:t>Greater Toronto Area (GTA) condominium apartment sales were lower in the first quarter of 2026 compared to the first quarter 2025, while active listings remained at elevated levels, albeit flat compared to last year. With sales down and available inventory holding steady year-over-year, condo buyers continued to benefit from substantial choice and negotiating power on price.</w:t>
      </w:r>
    </w:p>
    <w:p w14:paraId="50D15D40" w14:textId="74861B5B" w:rsidR="002033D3" w:rsidRPr="002033D3" w:rsidRDefault="002033D3" w:rsidP="002033D3">
      <w:pPr>
        <w:shd w:val="clear" w:color="auto" w:fill="EDF1F3"/>
        <w:spacing w:before="100" w:beforeAutospacing="1" w:after="100" w:afterAutospacing="1" w:line="240" w:lineRule="auto"/>
        <w:rPr>
          <w:rFonts w:ascii="Segoe UI" w:eastAsia="Times New Roman" w:hAnsi="Segoe UI" w:cs="Segoe UI"/>
          <w:color w:val="272C37"/>
          <w:kern w:val="0"/>
          <w:sz w:val="27"/>
          <w:szCs w:val="27"/>
          <w14:ligatures w14:val="none"/>
        </w:rPr>
      </w:pPr>
      <w:r w:rsidRPr="002033D3">
        <w:rPr>
          <w:rFonts w:ascii="Segoe UI" w:eastAsia="Times New Roman" w:hAnsi="Segoe UI" w:cs="Segoe UI"/>
          <w:color w:val="272C37"/>
          <w:kern w:val="0"/>
          <w:sz w:val="27"/>
          <w:szCs w:val="27"/>
          <w14:ligatures w14:val="none"/>
        </w:rPr>
        <w:t>There were 3,361 condominium apartment sales reported through the Toronto Regional Real Estate Board (TRREB) MLS® System in Q1 2026 – down by 11.3 per cent compared to 3,791 sales in Q1 2025. New condominium apartment listings entered the TRREB MLS® System totaled 11,723 in the first quarter of 2026, down by 19.4 per cent year-over-year. However, active listings at the end of the quarter remained virtually unchanged compared to the same period last year at 6,688 units.</w:t>
      </w:r>
    </w:p>
    <w:p w14:paraId="0AF3501F" w14:textId="77777777" w:rsidR="002033D3" w:rsidRPr="002033D3" w:rsidRDefault="002033D3" w:rsidP="002033D3">
      <w:pPr>
        <w:shd w:val="clear" w:color="auto" w:fill="EDF1F3"/>
        <w:spacing w:before="100" w:beforeAutospacing="1" w:after="100" w:afterAutospacing="1" w:line="240" w:lineRule="auto"/>
        <w:rPr>
          <w:rFonts w:ascii="Segoe UI" w:eastAsia="Times New Roman" w:hAnsi="Segoe UI" w:cs="Segoe UI"/>
          <w:color w:val="272C37"/>
          <w:kern w:val="0"/>
          <w:sz w:val="27"/>
          <w:szCs w:val="27"/>
          <w14:ligatures w14:val="none"/>
        </w:rPr>
      </w:pPr>
      <w:r w:rsidRPr="002033D3">
        <w:rPr>
          <w:rFonts w:ascii="Segoe UI" w:eastAsia="Times New Roman" w:hAnsi="Segoe UI" w:cs="Segoe UI"/>
          <w:color w:val="272C37"/>
          <w:kern w:val="0"/>
          <w:sz w:val="27"/>
          <w:szCs w:val="27"/>
          <w14:ligatures w14:val="none"/>
        </w:rPr>
        <w:t>Elevated choice in the marketplace resulted in the average condominium apartment selling price trending lower year-over-year – down by 9.1 per cent to $618,484 in Q1 2026 compared to $680,243 in Q1 2025. The average selling price in the City of Toronto was $649,330, which was above the GTA average but below the $711,258 average price recorded in the City of Toronto during the first quarter of 2025.</w:t>
      </w:r>
    </w:p>
    <w:p w14:paraId="33557002" w14:textId="137CDFBB" w:rsidR="002033D3" w:rsidRPr="002033D3" w:rsidRDefault="002033D3" w:rsidP="002033D3">
      <w:pPr>
        <w:shd w:val="clear" w:color="auto" w:fill="EDF1F3"/>
        <w:spacing w:before="100" w:beforeAutospacing="1" w:after="100" w:afterAutospacing="1" w:line="240" w:lineRule="auto"/>
        <w:rPr>
          <w:rFonts w:ascii="Segoe UI" w:eastAsia="Times New Roman" w:hAnsi="Segoe UI" w:cs="Segoe UI"/>
          <w:color w:val="272C37"/>
          <w:kern w:val="0"/>
          <w:sz w:val="27"/>
          <w:szCs w:val="27"/>
          <w14:ligatures w14:val="none"/>
        </w:rPr>
      </w:pPr>
      <w:r w:rsidRPr="002033D3">
        <w:rPr>
          <w:rFonts w:ascii="Segoe UI" w:eastAsia="Times New Roman" w:hAnsi="Segoe UI" w:cs="Segoe UI"/>
          <w:color w:val="272C37"/>
          <w:kern w:val="0"/>
          <w:sz w:val="27"/>
          <w:szCs w:val="27"/>
          <w14:ligatures w14:val="none"/>
        </w:rPr>
        <w:t xml:space="preserve">Lower borrowing costs and selling prices compared to a year ago improved affordability. In the months ahead, this improvement could result in increased sales. In addition, the fact that new listings </w:t>
      </w:r>
      <w:r w:rsidRPr="002033D3">
        <w:rPr>
          <w:rFonts w:ascii="Segoe UI" w:eastAsia="Times New Roman" w:hAnsi="Segoe UI" w:cs="Segoe UI"/>
          <w:color w:val="272C37"/>
          <w:kern w:val="0"/>
          <w:sz w:val="27"/>
          <w:szCs w:val="27"/>
          <w14:ligatures w14:val="none"/>
        </w:rPr>
        <w:t>entered</w:t>
      </w:r>
      <w:r w:rsidRPr="002033D3">
        <w:rPr>
          <w:rFonts w:ascii="Segoe UI" w:eastAsia="Times New Roman" w:hAnsi="Segoe UI" w:cs="Segoe UI"/>
          <w:color w:val="272C37"/>
          <w:kern w:val="0"/>
          <w:sz w:val="27"/>
          <w:szCs w:val="27"/>
          <w14:ligatures w14:val="none"/>
        </w:rPr>
        <w:t xml:space="preserve"> TRREB’s MLS® System were lower compared to Q1 2025 suggests that market conditions could tighten in the months ahead. Tighter market conditions would initially provide some support for prices and ultimately a resumption of growth beyond 2026.</w:t>
      </w:r>
    </w:p>
    <w:p w14:paraId="3459173B" w14:textId="77777777" w:rsidR="002033D3" w:rsidRDefault="002033D3"/>
    <w:sectPr w:rsidR="002033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D3"/>
    <w:rsid w:val="002033D3"/>
    <w:rsid w:val="00AE3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D39E72"/>
  <w15:chartTrackingRefBased/>
  <w15:docId w15:val="{C34475C4-4700-8B48-AE9A-72238B51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3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3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3D3"/>
    <w:rPr>
      <w:rFonts w:eastAsiaTheme="majorEastAsia" w:cstheme="majorBidi"/>
      <w:color w:val="272727" w:themeColor="text1" w:themeTint="D8"/>
    </w:rPr>
  </w:style>
  <w:style w:type="paragraph" w:styleId="Title">
    <w:name w:val="Title"/>
    <w:basedOn w:val="Normal"/>
    <w:next w:val="Normal"/>
    <w:link w:val="TitleChar"/>
    <w:uiPriority w:val="10"/>
    <w:qFormat/>
    <w:rsid w:val="00203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3D3"/>
    <w:pPr>
      <w:spacing w:before="160"/>
      <w:jc w:val="center"/>
    </w:pPr>
    <w:rPr>
      <w:i/>
      <w:iCs/>
      <w:color w:val="404040" w:themeColor="text1" w:themeTint="BF"/>
    </w:rPr>
  </w:style>
  <w:style w:type="character" w:customStyle="1" w:styleId="QuoteChar">
    <w:name w:val="Quote Char"/>
    <w:basedOn w:val="DefaultParagraphFont"/>
    <w:link w:val="Quote"/>
    <w:uiPriority w:val="29"/>
    <w:rsid w:val="002033D3"/>
    <w:rPr>
      <w:i/>
      <w:iCs/>
      <w:color w:val="404040" w:themeColor="text1" w:themeTint="BF"/>
    </w:rPr>
  </w:style>
  <w:style w:type="paragraph" w:styleId="ListParagraph">
    <w:name w:val="List Paragraph"/>
    <w:basedOn w:val="Normal"/>
    <w:uiPriority w:val="34"/>
    <w:qFormat/>
    <w:rsid w:val="002033D3"/>
    <w:pPr>
      <w:ind w:left="720"/>
      <w:contextualSpacing/>
    </w:pPr>
  </w:style>
  <w:style w:type="character" w:styleId="IntenseEmphasis">
    <w:name w:val="Intense Emphasis"/>
    <w:basedOn w:val="DefaultParagraphFont"/>
    <w:uiPriority w:val="21"/>
    <w:qFormat/>
    <w:rsid w:val="002033D3"/>
    <w:rPr>
      <w:i/>
      <w:iCs/>
      <w:color w:val="0F4761" w:themeColor="accent1" w:themeShade="BF"/>
    </w:rPr>
  </w:style>
  <w:style w:type="paragraph" w:styleId="IntenseQuote">
    <w:name w:val="Intense Quote"/>
    <w:basedOn w:val="Normal"/>
    <w:next w:val="Normal"/>
    <w:link w:val="IntenseQuoteChar"/>
    <w:uiPriority w:val="30"/>
    <w:qFormat/>
    <w:rsid w:val="00203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3D3"/>
    <w:rPr>
      <w:i/>
      <w:iCs/>
      <w:color w:val="0F4761" w:themeColor="accent1" w:themeShade="BF"/>
    </w:rPr>
  </w:style>
  <w:style w:type="character" w:styleId="IntenseReference">
    <w:name w:val="Intense Reference"/>
    <w:basedOn w:val="DefaultParagraphFont"/>
    <w:uiPriority w:val="32"/>
    <w:qFormat/>
    <w:rsid w:val="002033D3"/>
    <w:rPr>
      <w:b/>
      <w:bCs/>
      <w:smallCaps/>
      <w:color w:val="0F4761" w:themeColor="accent1" w:themeShade="BF"/>
      <w:spacing w:val="5"/>
    </w:rPr>
  </w:style>
  <w:style w:type="paragraph" w:customStyle="1" w:styleId="has-medium-font-size">
    <w:name w:val="has-medium-font-size"/>
    <w:basedOn w:val="Normal"/>
    <w:rsid w:val="002033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033D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1493</Characters>
  <Application>Microsoft Office Word</Application>
  <DocSecurity>0</DocSecurity>
  <Lines>28</Lines>
  <Paragraphs>7</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Hyndman</dc:creator>
  <cp:keywords/>
  <dc:description/>
  <cp:lastModifiedBy>Bruce Hyndman</cp:lastModifiedBy>
  <cp:revision>1</cp:revision>
  <dcterms:created xsi:type="dcterms:W3CDTF">2026-07-24T16:38:00Z</dcterms:created>
  <dcterms:modified xsi:type="dcterms:W3CDTF">2026-07-24T16:39:00Z</dcterms:modified>
</cp:coreProperties>
</file>